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407" w:rsidRPr="00BC057B" w:rsidRDefault="00334FFC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34FFC">
        <w:rPr>
          <w:rFonts w:ascii="Arial" w:hAnsi="Arial" w:cs="Arial"/>
          <w:b/>
          <w:sz w:val="20"/>
          <w:szCs w:val="20"/>
        </w:rPr>
        <w:t>MNB azonosító</w:t>
      </w:r>
      <w:r w:rsidR="000F227E">
        <w:rPr>
          <w:rFonts w:ascii="Arial" w:hAnsi="Arial" w:cs="Arial"/>
          <w:b/>
          <w:sz w:val="20"/>
          <w:szCs w:val="20"/>
        </w:rPr>
        <w:t xml:space="preserve"> kód</w:t>
      </w:r>
      <w:r w:rsidRPr="00334FFC">
        <w:rPr>
          <w:rFonts w:ascii="Arial" w:hAnsi="Arial" w:cs="Arial"/>
          <w:b/>
          <w:sz w:val="20"/>
          <w:szCs w:val="20"/>
        </w:rPr>
        <w:t>:</w:t>
      </w:r>
      <w:r w:rsidRPr="00334FFC">
        <w:rPr>
          <w:rFonts w:ascii="Arial" w:hAnsi="Arial" w:cs="Arial"/>
          <w:sz w:val="20"/>
          <w:szCs w:val="20"/>
        </w:rPr>
        <w:t xml:space="preserve"> </w:t>
      </w:r>
      <w:r w:rsidRPr="00334FFC">
        <w:rPr>
          <w:rFonts w:ascii="Arial" w:hAnsi="Arial" w:cs="Arial"/>
          <w:b/>
          <w:sz w:val="20"/>
          <w:szCs w:val="20"/>
        </w:rPr>
        <w:t>R01</w:t>
      </w:r>
    </w:p>
    <w:p w:rsidR="00236407" w:rsidRPr="00BC057B" w:rsidRDefault="00236407">
      <w:pPr>
        <w:rPr>
          <w:rFonts w:ascii="Arial" w:hAnsi="Arial" w:cs="Arial"/>
          <w:sz w:val="20"/>
          <w:szCs w:val="20"/>
        </w:rPr>
      </w:pPr>
    </w:p>
    <w:p w:rsidR="00236407" w:rsidRPr="00BC057B" w:rsidRDefault="00236407">
      <w:pPr>
        <w:rPr>
          <w:rFonts w:ascii="Arial" w:hAnsi="Arial" w:cs="Arial"/>
          <w:sz w:val="20"/>
          <w:szCs w:val="20"/>
        </w:rPr>
      </w:pPr>
    </w:p>
    <w:p w:rsidR="00236407" w:rsidRPr="00BC057B" w:rsidRDefault="00334FFC">
      <w:pPr>
        <w:jc w:val="center"/>
        <w:rPr>
          <w:rFonts w:ascii="Arial" w:hAnsi="Arial" w:cs="Arial"/>
          <w:b/>
          <w:sz w:val="20"/>
          <w:szCs w:val="20"/>
        </w:rPr>
      </w:pPr>
      <w:r w:rsidRPr="00334FFC">
        <w:rPr>
          <w:rFonts w:ascii="Arial" w:hAnsi="Arial" w:cs="Arial"/>
          <w:b/>
          <w:sz w:val="20"/>
          <w:szCs w:val="20"/>
        </w:rPr>
        <w:t>Kitöltési előírások</w:t>
      </w:r>
    </w:p>
    <w:p w:rsidR="00236407" w:rsidRPr="00BC057B" w:rsidRDefault="00334FFC">
      <w:pPr>
        <w:jc w:val="center"/>
        <w:rPr>
          <w:rFonts w:ascii="Arial" w:hAnsi="Arial" w:cs="Arial"/>
          <w:b/>
          <w:sz w:val="20"/>
          <w:szCs w:val="20"/>
        </w:rPr>
      </w:pPr>
      <w:r w:rsidRPr="00334FFC">
        <w:rPr>
          <w:rFonts w:ascii="Arial" w:hAnsi="Arial" w:cs="Arial"/>
          <w:b/>
          <w:sz w:val="20"/>
          <w:szCs w:val="20"/>
        </w:rPr>
        <w:t>Tőkebefektetésben érintett adatszolgáltatók végső befektetőjének és</w:t>
      </w:r>
    </w:p>
    <w:p w:rsidR="00236407" w:rsidRPr="00BC057B" w:rsidRDefault="00334FFC">
      <w:pPr>
        <w:jc w:val="center"/>
        <w:rPr>
          <w:rFonts w:ascii="Arial" w:hAnsi="Arial" w:cs="Arial"/>
          <w:b/>
          <w:sz w:val="20"/>
          <w:szCs w:val="20"/>
        </w:rPr>
      </w:pPr>
      <w:r w:rsidRPr="00334FFC">
        <w:rPr>
          <w:rFonts w:ascii="Arial" w:hAnsi="Arial" w:cs="Arial"/>
          <w:b/>
          <w:sz w:val="20"/>
          <w:szCs w:val="20"/>
        </w:rPr>
        <w:t>nem</w:t>
      </w:r>
      <w:r w:rsidR="00BC057B">
        <w:rPr>
          <w:rFonts w:ascii="Arial" w:hAnsi="Arial" w:cs="Arial"/>
          <w:b/>
          <w:sz w:val="20"/>
          <w:szCs w:val="20"/>
        </w:rPr>
        <w:t>-</w:t>
      </w:r>
      <w:r w:rsidRPr="00334FFC">
        <w:rPr>
          <w:rFonts w:ascii="Arial" w:hAnsi="Arial" w:cs="Arial"/>
          <w:b/>
          <w:sz w:val="20"/>
          <w:szCs w:val="20"/>
        </w:rPr>
        <w:t>rezidens partnereinek törzsadatai</w:t>
      </w:r>
    </w:p>
    <w:p w:rsidR="00236407" w:rsidRPr="00BC057B" w:rsidRDefault="00236407">
      <w:pPr>
        <w:jc w:val="center"/>
        <w:rPr>
          <w:rFonts w:ascii="Arial" w:hAnsi="Arial" w:cs="Arial"/>
          <w:b/>
          <w:sz w:val="20"/>
          <w:szCs w:val="20"/>
        </w:rPr>
      </w:pPr>
    </w:p>
    <w:p w:rsidR="00236407" w:rsidRPr="00BC057B" w:rsidRDefault="00334FFC">
      <w:pPr>
        <w:pStyle w:val="Cmsor1"/>
        <w:rPr>
          <w:sz w:val="20"/>
          <w:szCs w:val="20"/>
        </w:rPr>
      </w:pPr>
      <w:bookmarkStart w:id="1" w:name="_Toc125943045"/>
      <w:r w:rsidRPr="00334FFC">
        <w:rPr>
          <w:sz w:val="20"/>
          <w:szCs w:val="20"/>
        </w:rPr>
        <w:t xml:space="preserve">I. Általános </w:t>
      </w:r>
      <w:bookmarkEnd w:id="1"/>
      <w:r w:rsidRPr="00334FFC">
        <w:rPr>
          <w:sz w:val="20"/>
          <w:szCs w:val="20"/>
        </w:rPr>
        <w:t>előírások</w:t>
      </w:r>
    </w:p>
    <w:p w:rsidR="00236407" w:rsidRPr="00BC057B" w:rsidRDefault="00334FFC">
      <w:pPr>
        <w:jc w:val="both"/>
        <w:rPr>
          <w:rFonts w:ascii="Arial" w:hAnsi="Arial" w:cs="Arial"/>
          <w:sz w:val="20"/>
          <w:szCs w:val="20"/>
        </w:rPr>
      </w:pPr>
      <w:r w:rsidRPr="00334FFC">
        <w:rPr>
          <w:rFonts w:ascii="Arial" w:hAnsi="Arial" w:cs="Arial"/>
          <w:sz w:val="20"/>
          <w:szCs w:val="20"/>
        </w:rPr>
        <w:t>1. Az adatszolgáltatásban az adatszolgáltatónak törzsadatokat kell jelentenie</w:t>
      </w:r>
    </w:p>
    <w:p w:rsidR="0060599C" w:rsidRDefault="00334FFC">
      <w:pPr>
        <w:numPr>
          <w:ilvl w:val="0"/>
          <w:numId w:val="23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334FFC">
        <w:rPr>
          <w:rFonts w:ascii="Arial" w:hAnsi="Arial" w:cs="Arial"/>
          <w:sz w:val="20"/>
          <w:szCs w:val="20"/>
        </w:rPr>
        <w:t>azon nem</w:t>
      </w:r>
      <w:r w:rsidR="00BC057B">
        <w:rPr>
          <w:rFonts w:ascii="Arial" w:hAnsi="Arial" w:cs="Arial"/>
          <w:sz w:val="20"/>
          <w:szCs w:val="20"/>
        </w:rPr>
        <w:t>-</w:t>
      </w:r>
      <w:r w:rsidRPr="00334FFC">
        <w:rPr>
          <w:rFonts w:ascii="Arial" w:hAnsi="Arial" w:cs="Arial"/>
          <w:sz w:val="20"/>
          <w:szCs w:val="20"/>
        </w:rPr>
        <w:t xml:space="preserve">rezidens partnereire vonatkozóan, amelyek tekintetében az R02, R03, R12, R13 vagy R29 </w:t>
      </w:r>
      <w:r w:rsidR="00306E5A">
        <w:rPr>
          <w:rFonts w:ascii="Arial" w:hAnsi="Arial" w:cs="Arial"/>
          <w:sz w:val="20"/>
          <w:szCs w:val="20"/>
        </w:rPr>
        <w:t xml:space="preserve">MNB </w:t>
      </w:r>
      <w:r w:rsidR="00BC057B">
        <w:rPr>
          <w:rFonts w:ascii="Arial" w:hAnsi="Arial" w:cs="Arial"/>
          <w:sz w:val="20"/>
          <w:szCs w:val="20"/>
        </w:rPr>
        <w:t xml:space="preserve">azonosító kódú </w:t>
      </w:r>
      <w:r w:rsidRPr="00334FFC">
        <w:rPr>
          <w:rFonts w:ascii="Arial" w:hAnsi="Arial" w:cs="Arial"/>
          <w:sz w:val="20"/>
          <w:szCs w:val="20"/>
        </w:rPr>
        <w:t xml:space="preserve">adatszolgáltatások teljesítésére kötelezett, továbbá </w:t>
      </w:r>
    </w:p>
    <w:p w:rsidR="0060599C" w:rsidRDefault="00334FFC">
      <w:pPr>
        <w:numPr>
          <w:ilvl w:val="0"/>
          <w:numId w:val="23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334FFC">
        <w:rPr>
          <w:rFonts w:ascii="Arial" w:hAnsi="Arial" w:cs="Arial"/>
          <w:sz w:val="20"/>
          <w:szCs w:val="20"/>
        </w:rPr>
        <w:t>a rezidens vagy nem</w:t>
      </w:r>
      <w:r w:rsidR="00BC057B">
        <w:rPr>
          <w:rFonts w:ascii="Arial" w:hAnsi="Arial" w:cs="Arial"/>
          <w:sz w:val="20"/>
          <w:szCs w:val="20"/>
        </w:rPr>
        <w:t>-</w:t>
      </w:r>
      <w:r w:rsidRPr="00334FFC">
        <w:rPr>
          <w:rFonts w:ascii="Arial" w:hAnsi="Arial" w:cs="Arial"/>
          <w:sz w:val="20"/>
          <w:szCs w:val="20"/>
        </w:rPr>
        <w:t>rezidens végső befektetőjéről, a vállalatcsoport adatszolgáltatóban szavazati joggal közvetlenül rendelkező külföldi tag</w:t>
      </w:r>
      <w:r w:rsidR="00BC057B">
        <w:rPr>
          <w:rFonts w:ascii="Arial" w:hAnsi="Arial" w:cs="Arial"/>
          <w:sz w:val="20"/>
          <w:szCs w:val="20"/>
        </w:rPr>
        <w:t>ok</w:t>
      </w:r>
      <w:r w:rsidRPr="00334FFC">
        <w:rPr>
          <w:rFonts w:ascii="Arial" w:hAnsi="Arial" w:cs="Arial"/>
          <w:sz w:val="20"/>
          <w:szCs w:val="20"/>
        </w:rPr>
        <w:t>ról</w:t>
      </w:r>
      <w:r w:rsidR="002632FF" w:rsidRPr="00BC057B">
        <w:rPr>
          <w:rFonts w:ascii="Arial" w:hAnsi="Arial" w:cs="Arial"/>
          <w:sz w:val="17"/>
          <w:szCs w:val="17"/>
        </w:rPr>
        <w:t xml:space="preserve"> </w:t>
      </w:r>
      <w:r w:rsidRPr="00334FFC">
        <w:rPr>
          <w:rFonts w:ascii="Arial" w:hAnsi="Arial" w:cs="Arial"/>
          <w:sz w:val="20"/>
          <w:szCs w:val="20"/>
        </w:rPr>
        <w:t>és a vállalatcsoport azon külföldi tagjairól, amelyben az adatszolgáltató közvetlenül szavazati joggal rendelkezik</w:t>
      </w:r>
      <w:r w:rsidR="00BC057B">
        <w:rPr>
          <w:rFonts w:ascii="Arial" w:hAnsi="Arial" w:cs="Arial"/>
          <w:sz w:val="20"/>
          <w:szCs w:val="20"/>
        </w:rPr>
        <w:t>,</w:t>
      </w:r>
      <w:r w:rsidRPr="00334FFC">
        <w:rPr>
          <w:rFonts w:ascii="Arial" w:hAnsi="Arial" w:cs="Arial"/>
          <w:sz w:val="20"/>
          <w:szCs w:val="20"/>
        </w:rPr>
        <w:t xml:space="preserve"> abban az esetben is, ha az általa teljesített, az a) pontban hivatkozott adatszolgáltatásokban egyébként ezen partnerek tekintetében nincs adatszolgáltatási kötelezettsége. </w:t>
      </w:r>
    </w:p>
    <w:p w:rsidR="00236407" w:rsidRPr="00BC057B" w:rsidRDefault="00334FFC">
      <w:pPr>
        <w:jc w:val="both"/>
        <w:rPr>
          <w:rFonts w:ascii="Arial" w:hAnsi="Arial" w:cs="Arial"/>
          <w:sz w:val="20"/>
          <w:szCs w:val="20"/>
        </w:rPr>
      </w:pPr>
      <w:r w:rsidRPr="00334FFC">
        <w:rPr>
          <w:rFonts w:ascii="Arial" w:hAnsi="Arial" w:cs="Arial"/>
          <w:sz w:val="20"/>
          <w:szCs w:val="20"/>
        </w:rPr>
        <w:t xml:space="preserve">Az adatszolgáltatás tábláját az adatszolgáltatónak annyiszor kell kitöltenie, ahány jelentésköteles partnere van.  </w:t>
      </w:r>
    </w:p>
    <w:p w:rsidR="0060599C" w:rsidRDefault="00334FF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34FFC">
        <w:rPr>
          <w:rFonts w:ascii="Arial" w:hAnsi="Arial" w:cs="Arial"/>
          <w:sz w:val="20"/>
          <w:szCs w:val="20"/>
        </w:rPr>
        <w:t xml:space="preserve">2. Az adatszolgáltatást </w:t>
      </w:r>
    </w:p>
    <w:p w:rsidR="0060599C" w:rsidRDefault="00334FFC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334FFC">
        <w:rPr>
          <w:rFonts w:ascii="Arial" w:hAnsi="Arial" w:cs="Arial"/>
          <w:sz w:val="20"/>
          <w:szCs w:val="20"/>
        </w:rPr>
        <w:t>a)</w:t>
      </w:r>
      <w:r w:rsidRPr="00334FFC">
        <w:rPr>
          <w:rFonts w:ascii="Arial" w:hAnsi="Arial" w:cs="Arial"/>
          <w:sz w:val="20"/>
          <w:szCs w:val="20"/>
        </w:rPr>
        <w:tab/>
        <w:t xml:space="preserve">az 1. a) alpont szerinti </w:t>
      </w:r>
      <w:r w:rsidR="00377F1D">
        <w:rPr>
          <w:rFonts w:ascii="Arial" w:hAnsi="Arial" w:cs="Arial"/>
          <w:sz w:val="20"/>
          <w:szCs w:val="20"/>
        </w:rPr>
        <w:t>esetben</w:t>
      </w:r>
      <w:r w:rsidRPr="00334FFC">
        <w:rPr>
          <w:rFonts w:ascii="Arial" w:hAnsi="Arial" w:cs="Arial"/>
          <w:sz w:val="20"/>
          <w:szCs w:val="20"/>
        </w:rPr>
        <w:t xml:space="preserve"> első alkalommal annak az R02, R03, R12 vagy R13</w:t>
      </w:r>
      <w:r w:rsidR="00306E5A">
        <w:rPr>
          <w:rFonts w:ascii="Arial" w:hAnsi="Arial" w:cs="Arial"/>
          <w:sz w:val="20"/>
          <w:szCs w:val="20"/>
        </w:rPr>
        <w:t xml:space="preserve"> MNB</w:t>
      </w:r>
      <w:r w:rsidRPr="00334FFC">
        <w:rPr>
          <w:rFonts w:ascii="Arial" w:hAnsi="Arial" w:cs="Arial"/>
          <w:sz w:val="20"/>
          <w:szCs w:val="20"/>
        </w:rPr>
        <w:t xml:space="preserve"> </w:t>
      </w:r>
      <w:r w:rsidR="00BC057B">
        <w:rPr>
          <w:rFonts w:ascii="Arial" w:hAnsi="Arial" w:cs="Arial"/>
          <w:sz w:val="20"/>
          <w:szCs w:val="20"/>
        </w:rPr>
        <w:t xml:space="preserve">azonosító kódú </w:t>
      </w:r>
      <w:r w:rsidRPr="00334FFC">
        <w:rPr>
          <w:rFonts w:ascii="Arial" w:hAnsi="Arial" w:cs="Arial"/>
          <w:sz w:val="20"/>
          <w:szCs w:val="20"/>
        </w:rPr>
        <w:t xml:space="preserve">adatszolgáltatásnak a tárgyidőszakát követő hónap 9. munkanapjáig, illetve annak az R29 </w:t>
      </w:r>
      <w:r w:rsidR="00306E5A">
        <w:rPr>
          <w:rFonts w:ascii="Arial" w:hAnsi="Arial" w:cs="Arial"/>
          <w:sz w:val="20"/>
          <w:szCs w:val="20"/>
        </w:rPr>
        <w:t xml:space="preserve">MNB </w:t>
      </w:r>
      <w:r w:rsidR="00BC057B">
        <w:rPr>
          <w:rFonts w:ascii="Arial" w:hAnsi="Arial" w:cs="Arial"/>
          <w:sz w:val="20"/>
          <w:szCs w:val="20"/>
        </w:rPr>
        <w:t xml:space="preserve">azonosító kódú </w:t>
      </w:r>
      <w:r w:rsidRPr="00334FFC">
        <w:rPr>
          <w:rFonts w:ascii="Arial" w:hAnsi="Arial" w:cs="Arial"/>
          <w:sz w:val="20"/>
          <w:szCs w:val="20"/>
        </w:rPr>
        <w:t>adatszolgáltatásnak a tárgyidőszakát követő év június 20-ig kell teljesíteni, amelyben a partner tekintetében az adatszolgáltató adatokat közöl,</w:t>
      </w:r>
    </w:p>
    <w:p w:rsidR="0060599C" w:rsidRDefault="00334FFC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334FFC">
        <w:rPr>
          <w:rFonts w:ascii="Arial" w:hAnsi="Arial" w:cs="Arial"/>
          <w:sz w:val="20"/>
          <w:szCs w:val="20"/>
        </w:rPr>
        <w:t>b)</w:t>
      </w:r>
      <w:r w:rsidRPr="00334FFC">
        <w:rPr>
          <w:rFonts w:ascii="Arial" w:hAnsi="Arial" w:cs="Arial"/>
          <w:sz w:val="20"/>
          <w:szCs w:val="20"/>
        </w:rPr>
        <w:tab/>
        <w:t xml:space="preserve">az 1. b) alpont szerinti </w:t>
      </w:r>
      <w:r w:rsidR="00377F1D">
        <w:rPr>
          <w:rFonts w:ascii="Arial" w:hAnsi="Arial" w:cs="Arial"/>
          <w:sz w:val="20"/>
          <w:szCs w:val="20"/>
        </w:rPr>
        <w:t>esetben</w:t>
      </w:r>
      <w:r w:rsidRPr="00334FFC">
        <w:rPr>
          <w:rFonts w:ascii="Arial" w:hAnsi="Arial" w:cs="Arial"/>
          <w:sz w:val="20"/>
          <w:szCs w:val="20"/>
        </w:rPr>
        <w:t xml:space="preserve"> első alkalommal az adatszolgáltató által első ízben teljesített R02, R03, R12 vagy R13 </w:t>
      </w:r>
      <w:r w:rsidR="00306E5A">
        <w:rPr>
          <w:rFonts w:ascii="Arial" w:hAnsi="Arial" w:cs="Arial"/>
          <w:sz w:val="20"/>
          <w:szCs w:val="20"/>
        </w:rPr>
        <w:t xml:space="preserve">MNB </w:t>
      </w:r>
      <w:r w:rsidR="00377F1D">
        <w:rPr>
          <w:rFonts w:ascii="Arial" w:hAnsi="Arial" w:cs="Arial"/>
          <w:sz w:val="20"/>
          <w:szCs w:val="20"/>
        </w:rPr>
        <w:t xml:space="preserve">azonosító kódú </w:t>
      </w:r>
      <w:r w:rsidRPr="00334FFC">
        <w:rPr>
          <w:rFonts w:ascii="Arial" w:hAnsi="Arial" w:cs="Arial"/>
          <w:sz w:val="20"/>
          <w:szCs w:val="20"/>
        </w:rPr>
        <w:t xml:space="preserve">adatszolgáltatás tárgyidőszakát követő hónap 9. munkanapjáig, illetve az első ízben teljesített R29 </w:t>
      </w:r>
      <w:r w:rsidR="00306E5A">
        <w:rPr>
          <w:rFonts w:ascii="Arial" w:hAnsi="Arial" w:cs="Arial"/>
          <w:sz w:val="20"/>
          <w:szCs w:val="20"/>
        </w:rPr>
        <w:t xml:space="preserve">MNB </w:t>
      </w:r>
      <w:r w:rsidR="00377F1D">
        <w:rPr>
          <w:rFonts w:ascii="Arial" w:hAnsi="Arial" w:cs="Arial"/>
          <w:sz w:val="20"/>
          <w:szCs w:val="20"/>
        </w:rPr>
        <w:t xml:space="preserve">azonosító kódú </w:t>
      </w:r>
      <w:r w:rsidRPr="00334FFC">
        <w:rPr>
          <w:rFonts w:ascii="Arial" w:hAnsi="Arial" w:cs="Arial"/>
          <w:sz w:val="20"/>
          <w:szCs w:val="20"/>
        </w:rPr>
        <w:t xml:space="preserve">adatszolgáltatás tárgyidőszakát követő év június 20-ig kell teljesíteni, </w:t>
      </w:r>
    </w:p>
    <w:p w:rsidR="0060599C" w:rsidRDefault="00334FFC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334FFC">
        <w:rPr>
          <w:rFonts w:ascii="Arial" w:hAnsi="Arial" w:cs="Arial"/>
          <w:sz w:val="20"/>
          <w:szCs w:val="20"/>
        </w:rPr>
        <w:t>c)</w:t>
      </w:r>
      <w:r w:rsidRPr="00334FFC">
        <w:rPr>
          <w:rFonts w:ascii="Arial" w:hAnsi="Arial" w:cs="Arial"/>
          <w:sz w:val="20"/>
          <w:szCs w:val="20"/>
        </w:rPr>
        <w:tab/>
        <w:t>egy már jelentett partner tekintetében abban az esetben kell teljesíteni, ha a partner korábban jelentett adataiban változás történt. Adatváltozás esetén az adatszolgáltatás valamennyi mezőjét ismételten ki kell tölteni a 1</w:t>
      </w:r>
      <w:r w:rsidR="000F227E">
        <w:rPr>
          <w:rFonts w:ascii="Arial" w:hAnsi="Arial" w:cs="Arial"/>
          <w:sz w:val="20"/>
          <w:szCs w:val="20"/>
        </w:rPr>
        <w:t>4</w:t>
      </w:r>
      <w:r w:rsidR="00F2692F">
        <w:rPr>
          <w:rFonts w:ascii="Arial" w:hAnsi="Arial" w:cs="Arial"/>
          <w:sz w:val="20"/>
          <w:szCs w:val="20"/>
        </w:rPr>
        <w:t>-</w:t>
      </w:r>
      <w:r w:rsidRPr="00334FFC">
        <w:rPr>
          <w:rFonts w:ascii="Arial" w:hAnsi="Arial" w:cs="Arial"/>
          <w:sz w:val="20"/>
          <w:szCs w:val="20"/>
        </w:rPr>
        <w:t>1</w:t>
      </w:r>
      <w:r w:rsidR="00377F1D">
        <w:rPr>
          <w:rFonts w:ascii="Arial" w:hAnsi="Arial" w:cs="Arial"/>
          <w:sz w:val="20"/>
          <w:szCs w:val="20"/>
        </w:rPr>
        <w:t>6</w:t>
      </w:r>
      <w:r w:rsidRPr="00334FFC">
        <w:rPr>
          <w:rFonts w:ascii="Arial" w:hAnsi="Arial" w:cs="Arial"/>
          <w:sz w:val="20"/>
          <w:szCs w:val="20"/>
        </w:rPr>
        <w:t>. sorokba 0-1-0-t írva. A partner megszűnése vagy vállalatcsoportból történő kikerülése esetén is ki kell tölteni az adatszolgáltatás valamennyi mezőjét ismételten, a 1</w:t>
      </w:r>
      <w:r w:rsidR="00F2692F">
        <w:rPr>
          <w:rFonts w:ascii="Arial" w:hAnsi="Arial" w:cs="Arial"/>
          <w:sz w:val="20"/>
          <w:szCs w:val="20"/>
        </w:rPr>
        <w:t>4-</w:t>
      </w:r>
      <w:r w:rsidRPr="00334FFC">
        <w:rPr>
          <w:rFonts w:ascii="Arial" w:hAnsi="Arial" w:cs="Arial"/>
          <w:sz w:val="20"/>
          <w:szCs w:val="20"/>
        </w:rPr>
        <w:t>1</w:t>
      </w:r>
      <w:r w:rsidR="00F2692F">
        <w:rPr>
          <w:rFonts w:ascii="Arial" w:hAnsi="Arial" w:cs="Arial"/>
          <w:sz w:val="20"/>
          <w:szCs w:val="20"/>
        </w:rPr>
        <w:t>6</w:t>
      </w:r>
      <w:r w:rsidRPr="00334FFC">
        <w:rPr>
          <w:rFonts w:ascii="Arial" w:hAnsi="Arial" w:cs="Arial"/>
          <w:sz w:val="20"/>
          <w:szCs w:val="20"/>
        </w:rPr>
        <w:t>. sorokba 0-0-1-et írva.</w:t>
      </w:r>
    </w:p>
    <w:p w:rsidR="0060599C" w:rsidRDefault="00334FF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34FFC">
        <w:rPr>
          <w:rFonts w:ascii="Arial" w:hAnsi="Arial" w:cs="Arial"/>
          <w:sz w:val="20"/>
          <w:szCs w:val="20"/>
        </w:rPr>
        <w:t xml:space="preserve">3. A táblákban és a jelen kitöltési előírásokban használt fogalmak magyarázatát </w:t>
      </w:r>
      <w:r w:rsidR="00222AED">
        <w:rPr>
          <w:rFonts w:ascii="Arial" w:hAnsi="Arial" w:cs="Arial"/>
          <w:sz w:val="20"/>
          <w:szCs w:val="20"/>
        </w:rPr>
        <w:t>e</w:t>
      </w:r>
      <w:r w:rsidR="009D5685">
        <w:rPr>
          <w:rFonts w:ascii="Arial" w:hAnsi="Arial" w:cs="Arial"/>
          <w:sz w:val="20"/>
          <w:szCs w:val="20"/>
        </w:rPr>
        <w:t xml:space="preserve"> </w:t>
      </w:r>
      <w:r w:rsidRPr="00334FFC">
        <w:rPr>
          <w:rFonts w:ascii="Arial" w:hAnsi="Arial" w:cs="Arial"/>
          <w:sz w:val="20"/>
          <w:szCs w:val="20"/>
        </w:rPr>
        <w:t xml:space="preserve">melléklet </w:t>
      </w:r>
      <w:r w:rsidR="00CD17C0">
        <w:rPr>
          <w:rFonts w:ascii="Arial" w:hAnsi="Arial" w:cs="Arial"/>
          <w:sz w:val="20"/>
          <w:szCs w:val="20"/>
        </w:rPr>
        <w:t xml:space="preserve">I. </w:t>
      </w:r>
      <w:r w:rsidR="008A14B4">
        <w:rPr>
          <w:rFonts w:ascii="Arial" w:hAnsi="Arial" w:cs="Arial"/>
          <w:sz w:val="20"/>
          <w:szCs w:val="20"/>
        </w:rPr>
        <w:t>F</w:t>
      </w:r>
      <w:r w:rsidR="00190731">
        <w:rPr>
          <w:rFonts w:ascii="Arial" w:hAnsi="Arial" w:cs="Arial"/>
          <w:sz w:val="20"/>
          <w:szCs w:val="20"/>
        </w:rPr>
        <w:t>.</w:t>
      </w:r>
      <w:r w:rsidRPr="009D5685">
        <w:rPr>
          <w:rFonts w:ascii="Arial" w:hAnsi="Arial" w:cs="Arial"/>
          <w:sz w:val="20"/>
          <w:szCs w:val="20"/>
        </w:rPr>
        <w:t xml:space="preserve"> 5.</w:t>
      </w:r>
      <w:r w:rsidRPr="00334FFC">
        <w:rPr>
          <w:rFonts w:ascii="Arial" w:hAnsi="Arial" w:cs="Arial"/>
          <w:sz w:val="20"/>
          <w:szCs w:val="20"/>
        </w:rPr>
        <w:t xml:space="preserve"> pontja tartalmazza.</w:t>
      </w:r>
    </w:p>
    <w:p w:rsidR="00236407" w:rsidRPr="00BC057B" w:rsidRDefault="00236407">
      <w:pPr>
        <w:jc w:val="both"/>
        <w:rPr>
          <w:rFonts w:ascii="Arial" w:hAnsi="Arial" w:cs="Arial"/>
          <w:sz w:val="20"/>
          <w:szCs w:val="20"/>
        </w:rPr>
      </w:pPr>
    </w:p>
    <w:p w:rsidR="00236407" w:rsidRPr="00BC057B" w:rsidRDefault="00236407">
      <w:pPr>
        <w:jc w:val="both"/>
        <w:rPr>
          <w:rFonts w:ascii="Arial" w:hAnsi="Arial" w:cs="Arial"/>
          <w:sz w:val="20"/>
          <w:szCs w:val="20"/>
        </w:rPr>
      </w:pPr>
    </w:p>
    <w:p w:rsidR="00020837" w:rsidRPr="00BC057B" w:rsidRDefault="00334FFC">
      <w:pPr>
        <w:jc w:val="both"/>
        <w:rPr>
          <w:rFonts w:ascii="Arial" w:hAnsi="Arial" w:cs="Arial"/>
          <w:b/>
          <w:sz w:val="20"/>
          <w:szCs w:val="20"/>
        </w:rPr>
      </w:pPr>
      <w:r w:rsidRPr="00334FFC">
        <w:rPr>
          <w:rFonts w:ascii="Arial" w:hAnsi="Arial" w:cs="Arial"/>
          <w:b/>
          <w:sz w:val="20"/>
          <w:szCs w:val="20"/>
        </w:rPr>
        <w:t>II. A tábla kitöltésével kapcsolatos részletes előírások</w:t>
      </w:r>
    </w:p>
    <w:p w:rsidR="0060599C" w:rsidRDefault="00334FF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34FFC">
        <w:rPr>
          <w:rFonts w:ascii="Arial" w:hAnsi="Arial" w:cs="Arial"/>
          <w:sz w:val="20"/>
          <w:szCs w:val="20"/>
        </w:rPr>
        <w:t>Tárgyidőszak:</w:t>
      </w:r>
    </w:p>
    <w:p w:rsidR="00C42390" w:rsidRPr="00BC057B" w:rsidRDefault="00334FFC" w:rsidP="00C42390">
      <w:pPr>
        <w:jc w:val="both"/>
        <w:rPr>
          <w:rFonts w:ascii="Arial" w:hAnsi="Arial" w:cs="Arial"/>
          <w:sz w:val="20"/>
          <w:szCs w:val="20"/>
        </w:rPr>
      </w:pPr>
      <w:r w:rsidRPr="00334FFC">
        <w:rPr>
          <w:rFonts w:ascii="Arial" w:hAnsi="Arial" w:cs="Arial"/>
          <w:sz w:val="20"/>
          <w:szCs w:val="20"/>
        </w:rPr>
        <w:t xml:space="preserve">Az R01 </w:t>
      </w:r>
      <w:r w:rsidR="00306E5A">
        <w:rPr>
          <w:rFonts w:ascii="Arial" w:hAnsi="Arial" w:cs="Arial"/>
          <w:sz w:val="20"/>
          <w:szCs w:val="20"/>
        </w:rPr>
        <w:t xml:space="preserve">MNB </w:t>
      </w:r>
      <w:r w:rsidR="00CD17C0">
        <w:rPr>
          <w:rFonts w:ascii="Arial" w:hAnsi="Arial" w:cs="Arial"/>
          <w:sz w:val="20"/>
          <w:szCs w:val="20"/>
        </w:rPr>
        <w:t xml:space="preserve">azonosító kódú </w:t>
      </w:r>
      <w:r w:rsidRPr="00334FFC">
        <w:rPr>
          <w:rFonts w:ascii="Arial" w:hAnsi="Arial" w:cs="Arial"/>
          <w:sz w:val="20"/>
          <w:szCs w:val="20"/>
        </w:rPr>
        <w:t xml:space="preserve">adatszolgáltatás eseti gyakoriságú adatszolgáltatás, tárgyidőszaka egy konkrét naptári nap. Az R02, R03, R29 </w:t>
      </w:r>
      <w:r w:rsidR="00306E5A">
        <w:rPr>
          <w:rFonts w:ascii="Arial" w:hAnsi="Arial" w:cs="Arial"/>
          <w:sz w:val="20"/>
          <w:szCs w:val="20"/>
        </w:rPr>
        <w:t xml:space="preserve">MNB </w:t>
      </w:r>
      <w:r w:rsidR="00CD17C0">
        <w:rPr>
          <w:rFonts w:ascii="Arial" w:hAnsi="Arial" w:cs="Arial"/>
          <w:sz w:val="20"/>
          <w:szCs w:val="20"/>
        </w:rPr>
        <w:t>azonosító kódú adatszolgáltatáshoz</w:t>
      </w:r>
      <w:r w:rsidRPr="00334FFC">
        <w:rPr>
          <w:rFonts w:ascii="Arial" w:hAnsi="Arial" w:cs="Arial"/>
          <w:sz w:val="20"/>
          <w:szCs w:val="20"/>
        </w:rPr>
        <w:t xml:space="preserve"> kapcsolódó R01 </w:t>
      </w:r>
      <w:r w:rsidR="00306E5A">
        <w:rPr>
          <w:rFonts w:ascii="Arial" w:hAnsi="Arial" w:cs="Arial"/>
          <w:sz w:val="20"/>
          <w:szCs w:val="20"/>
        </w:rPr>
        <w:t xml:space="preserve">MNB </w:t>
      </w:r>
      <w:r w:rsidR="00CD17C0">
        <w:rPr>
          <w:rFonts w:ascii="Arial" w:hAnsi="Arial" w:cs="Arial"/>
          <w:sz w:val="20"/>
          <w:szCs w:val="20"/>
        </w:rPr>
        <w:t xml:space="preserve">azonosító kódú </w:t>
      </w:r>
      <w:r w:rsidRPr="00334FFC">
        <w:rPr>
          <w:rFonts w:ascii="Arial" w:hAnsi="Arial" w:cs="Arial"/>
          <w:sz w:val="20"/>
          <w:szCs w:val="20"/>
        </w:rPr>
        <w:t>adatszolgáltatás tárgyidőszakaként annak a hónapnak az első napját kell megadni, amikortól az adott adatszolgáltatásban jelentett vagy módosított partner adatok érvényesek. Az R12</w:t>
      </w:r>
      <w:r w:rsidR="00CD17C0">
        <w:rPr>
          <w:rFonts w:ascii="Arial" w:hAnsi="Arial" w:cs="Arial"/>
          <w:sz w:val="20"/>
          <w:szCs w:val="20"/>
        </w:rPr>
        <w:t xml:space="preserve"> és</w:t>
      </w:r>
      <w:r w:rsidRPr="00334FFC">
        <w:rPr>
          <w:rFonts w:ascii="Arial" w:hAnsi="Arial" w:cs="Arial"/>
          <w:sz w:val="20"/>
          <w:szCs w:val="20"/>
        </w:rPr>
        <w:t xml:space="preserve"> R13</w:t>
      </w:r>
      <w:r w:rsidR="00306E5A">
        <w:rPr>
          <w:rFonts w:ascii="Arial" w:hAnsi="Arial" w:cs="Arial"/>
          <w:sz w:val="20"/>
          <w:szCs w:val="20"/>
        </w:rPr>
        <w:t xml:space="preserve"> MNB</w:t>
      </w:r>
      <w:r w:rsidRPr="00334FFC">
        <w:rPr>
          <w:rFonts w:ascii="Arial" w:hAnsi="Arial" w:cs="Arial"/>
          <w:sz w:val="20"/>
          <w:szCs w:val="20"/>
        </w:rPr>
        <w:t xml:space="preserve"> </w:t>
      </w:r>
      <w:r w:rsidR="00CD17C0">
        <w:rPr>
          <w:rFonts w:ascii="Arial" w:hAnsi="Arial" w:cs="Arial"/>
          <w:sz w:val="20"/>
          <w:szCs w:val="20"/>
        </w:rPr>
        <w:t>azonosító kódú adatszolgáltatáshoz</w:t>
      </w:r>
      <w:r w:rsidRPr="00334FFC">
        <w:rPr>
          <w:rFonts w:ascii="Arial" w:hAnsi="Arial" w:cs="Arial"/>
          <w:sz w:val="20"/>
          <w:szCs w:val="20"/>
        </w:rPr>
        <w:t xml:space="preserve"> kapcsolódó R01 </w:t>
      </w:r>
      <w:r w:rsidR="00306E5A">
        <w:rPr>
          <w:rFonts w:ascii="Arial" w:hAnsi="Arial" w:cs="Arial"/>
          <w:sz w:val="20"/>
          <w:szCs w:val="20"/>
        </w:rPr>
        <w:t xml:space="preserve">MNB </w:t>
      </w:r>
      <w:r w:rsidR="00CD17C0">
        <w:rPr>
          <w:rFonts w:ascii="Arial" w:hAnsi="Arial" w:cs="Arial"/>
          <w:sz w:val="20"/>
          <w:szCs w:val="20"/>
        </w:rPr>
        <w:t xml:space="preserve">azonosító kódú </w:t>
      </w:r>
      <w:r w:rsidRPr="00334FFC">
        <w:rPr>
          <w:rFonts w:ascii="Arial" w:hAnsi="Arial" w:cs="Arial"/>
          <w:sz w:val="20"/>
          <w:szCs w:val="20"/>
        </w:rPr>
        <w:t>adatszolgáltatás esetén pedig tárgyidőszakként annak a negyedév</w:t>
      </w:r>
      <w:r w:rsidR="00CD17C0">
        <w:rPr>
          <w:rFonts w:ascii="Arial" w:hAnsi="Arial" w:cs="Arial"/>
          <w:sz w:val="20"/>
          <w:szCs w:val="20"/>
        </w:rPr>
        <w:t>nek az</w:t>
      </w:r>
      <w:r w:rsidRPr="00334FFC">
        <w:rPr>
          <w:rFonts w:ascii="Arial" w:hAnsi="Arial" w:cs="Arial"/>
          <w:sz w:val="20"/>
          <w:szCs w:val="20"/>
        </w:rPr>
        <w:t xml:space="preserve"> első hónapja első napját kell megadni, amikortól az adott adatszolgáltatásban jelentett vagy módosított partner adatok érvényesek. </w:t>
      </w:r>
    </w:p>
    <w:p w:rsidR="0060599C" w:rsidRDefault="00334FF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34FFC">
        <w:rPr>
          <w:rFonts w:ascii="Arial" w:hAnsi="Arial" w:cs="Arial"/>
          <w:sz w:val="20"/>
          <w:szCs w:val="20"/>
        </w:rPr>
        <w:t>Amennyiben az adatszolgáltató hibás adatszolgáltatást teljesített</w:t>
      </w:r>
      <w:r w:rsidR="00CD17C0">
        <w:rPr>
          <w:rFonts w:ascii="Arial" w:hAnsi="Arial" w:cs="Arial"/>
          <w:sz w:val="20"/>
          <w:szCs w:val="20"/>
        </w:rPr>
        <w:t>,</w:t>
      </w:r>
      <w:r w:rsidRPr="00334FFC">
        <w:rPr>
          <w:rFonts w:ascii="Arial" w:hAnsi="Arial" w:cs="Arial"/>
          <w:sz w:val="20"/>
          <w:szCs w:val="20"/>
        </w:rPr>
        <w:t xml:space="preserve"> és azt szeretné módosítani, ugyanarra a tárgyidőszakként megadott vonatkozási napra kell a módosított adatszolgáltatását ismételten beküldenie.</w:t>
      </w:r>
    </w:p>
    <w:p w:rsidR="00020837" w:rsidRPr="00BC057B" w:rsidRDefault="00334FFC" w:rsidP="00020837">
      <w:pPr>
        <w:jc w:val="both"/>
        <w:rPr>
          <w:rFonts w:ascii="Arial" w:hAnsi="Arial" w:cs="Arial"/>
          <w:sz w:val="20"/>
          <w:szCs w:val="20"/>
        </w:rPr>
      </w:pPr>
      <w:r w:rsidRPr="00334FFC">
        <w:rPr>
          <w:rFonts w:ascii="Arial" w:hAnsi="Arial" w:cs="Arial"/>
          <w:sz w:val="20"/>
          <w:szCs w:val="20"/>
        </w:rPr>
        <w:t xml:space="preserve">Amennyiben az adatszolgáltató által jelentett partner törzsadatokban a későbbiekben változás történik, a változás </w:t>
      </w:r>
      <w:proofErr w:type="gramStart"/>
      <w:r w:rsidRPr="00334FFC">
        <w:rPr>
          <w:rFonts w:ascii="Arial" w:hAnsi="Arial" w:cs="Arial"/>
          <w:sz w:val="20"/>
          <w:szCs w:val="20"/>
        </w:rPr>
        <w:t>napjának</w:t>
      </w:r>
      <w:proofErr w:type="gramEnd"/>
      <w:r w:rsidRPr="00334FFC">
        <w:rPr>
          <w:rFonts w:ascii="Arial" w:hAnsi="Arial" w:cs="Arial"/>
          <w:sz w:val="20"/>
          <w:szCs w:val="20"/>
        </w:rPr>
        <w:t xml:space="preserve"> mint tárgyidőszaknak a megadásával kell az adott partner adataival kitöltött TORZS táblát beküldeni. </w:t>
      </w:r>
    </w:p>
    <w:p w:rsidR="0060599C" w:rsidRDefault="00334FF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34FFC">
        <w:rPr>
          <w:rFonts w:ascii="Arial" w:hAnsi="Arial" w:cs="Arial"/>
          <w:sz w:val="20"/>
          <w:szCs w:val="20"/>
        </w:rPr>
        <w:t>A táblákban a szürke mezőket nem kell kitölteni.</w:t>
      </w:r>
    </w:p>
    <w:p w:rsidR="0060599C" w:rsidRDefault="00334FF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34FFC">
        <w:rPr>
          <w:rFonts w:ascii="Arial" w:hAnsi="Arial" w:cs="Arial"/>
          <w:sz w:val="20"/>
          <w:szCs w:val="20"/>
        </w:rPr>
        <w:t>A partner neve esetén a cégiratokkal egyező teljes cégnevet, a partner országa esetén a székhely, magánszemély esetén az állandó lakcím szerinti országot kell megadni. A partnerazonosító kód – a rezidens végső befek</w:t>
      </w:r>
      <w:r w:rsidR="00080638">
        <w:rPr>
          <w:rFonts w:ascii="Arial" w:hAnsi="Arial" w:cs="Arial"/>
          <w:sz w:val="20"/>
          <w:szCs w:val="20"/>
        </w:rPr>
        <w:t>t</w:t>
      </w:r>
      <w:r w:rsidRPr="00334FFC">
        <w:rPr>
          <w:rFonts w:ascii="Arial" w:hAnsi="Arial" w:cs="Arial"/>
          <w:sz w:val="20"/>
          <w:szCs w:val="20"/>
        </w:rPr>
        <w:t>etőként jelentett partner kivé</w:t>
      </w:r>
      <w:r w:rsidR="00080638">
        <w:rPr>
          <w:rFonts w:ascii="Arial" w:hAnsi="Arial" w:cs="Arial"/>
          <w:sz w:val="20"/>
          <w:szCs w:val="20"/>
        </w:rPr>
        <w:t>telével</w:t>
      </w:r>
      <w:r w:rsidRPr="00334FFC">
        <w:rPr>
          <w:rFonts w:ascii="Arial" w:hAnsi="Arial" w:cs="Arial"/>
          <w:sz w:val="20"/>
          <w:szCs w:val="20"/>
        </w:rPr>
        <w:t xml:space="preserve"> </w:t>
      </w:r>
      <w:r w:rsidR="00080638">
        <w:rPr>
          <w:rFonts w:ascii="Arial" w:hAnsi="Arial" w:cs="Arial"/>
          <w:sz w:val="20"/>
          <w:szCs w:val="20"/>
        </w:rPr>
        <w:t>–</w:t>
      </w:r>
      <w:r w:rsidRPr="00334FFC">
        <w:rPr>
          <w:rFonts w:ascii="Arial" w:hAnsi="Arial" w:cs="Arial"/>
          <w:sz w:val="20"/>
          <w:szCs w:val="20"/>
        </w:rPr>
        <w:t xml:space="preserve"> az adatszolgáltató által tetszőlegesen </w:t>
      </w:r>
      <w:r w:rsidRPr="00334FFC">
        <w:rPr>
          <w:rFonts w:ascii="Arial" w:hAnsi="Arial" w:cs="Arial"/>
          <w:sz w:val="20"/>
          <w:szCs w:val="20"/>
        </w:rPr>
        <w:lastRenderedPageBreak/>
        <w:t>meghatározott, legfeljebb 10 karakterből álló, alfanumerikus kód, amelyben a kis és nagybetű nem kerül megkülönböztetésre. A rezidens végső befektetőként jelentett partner esetében a partner KSH</w:t>
      </w:r>
      <w:r w:rsidR="00080638">
        <w:rPr>
          <w:rFonts w:ascii="Arial" w:hAnsi="Arial" w:cs="Arial"/>
          <w:sz w:val="20"/>
          <w:szCs w:val="20"/>
        </w:rPr>
        <w:t>-</w:t>
      </w:r>
      <w:r w:rsidRPr="00334FFC">
        <w:rPr>
          <w:rFonts w:ascii="Arial" w:hAnsi="Arial" w:cs="Arial"/>
          <w:sz w:val="20"/>
          <w:szCs w:val="20"/>
        </w:rPr>
        <w:t xml:space="preserve">törzsszámát </w:t>
      </w:r>
      <w:r w:rsidR="004D45EA">
        <w:rPr>
          <w:rFonts w:ascii="Arial" w:hAnsi="Arial" w:cs="Arial"/>
          <w:sz w:val="20"/>
          <w:szCs w:val="20"/>
        </w:rPr>
        <w:t xml:space="preserve">(adószám első </w:t>
      </w:r>
      <w:r w:rsidR="004D45EA" w:rsidRPr="00D65B7F">
        <w:rPr>
          <w:rFonts w:ascii="Arial" w:hAnsi="Arial" w:cs="Arial"/>
          <w:sz w:val="20"/>
          <w:szCs w:val="20"/>
        </w:rPr>
        <w:t xml:space="preserve">8 </w:t>
      </w:r>
      <w:r w:rsidR="004D45EA">
        <w:rPr>
          <w:rFonts w:ascii="Arial" w:hAnsi="Arial" w:cs="Arial"/>
          <w:sz w:val="20"/>
          <w:szCs w:val="20"/>
        </w:rPr>
        <w:t>karaktere)</w:t>
      </w:r>
      <w:r w:rsidR="004D45EA" w:rsidRPr="00D65B7F">
        <w:rPr>
          <w:rFonts w:ascii="Arial" w:hAnsi="Arial" w:cs="Arial"/>
          <w:sz w:val="20"/>
          <w:szCs w:val="20"/>
        </w:rPr>
        <w:t xml:space="preserve"> </w:t>
      </w:r>
      <w:r w:rsidRPr="00334FFC">
        <w:rPr>
          <w:rFonts w:ascii="Arial" w:hAnsi="Arial" w:cs="Arial"/>
          <w:sz w:val="20"/>
          <w:szCs w:val="20"/>
        </w:rPr>
        <w:t>kell megadni.</w:t>
      </w:r>
    </w:p>
    <w:p w:rsidR="0060599C" w:rsidRDefault="00334FF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34FFC">
        <w:rPr>
          <w:rFonts w:ascii="Arial" w:hAnsi="Arial" w:cs="Arial"/>
          <w:sz w:val="20"/>
          <w:szCs w:val="20"/>
        </w:rPr>
        <w:t>A TORZS táblában szerepeltetendő kódokat a 3. melléklet 4.9. pontja szerinti, az MNB honlapján közzétett technikai segédlet tartalmazza</w:t>
      </w:r>
    </w:p>
    <w:p w:rsidR="0060599C" w:rsidRDefault="00334FF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34FFC">
        <w:rPr>
          <w:rFonts w:ascii="Arial" w:hAnsi="Arial" w:cs="Arial"/>
          <w:sz w:val="20"/>
          <w:szCs w:val="20"/>
        </w:rPr>
        <w:t>A nem</w:t>
      </w:r>
      <w:r w:rsidR="00080638">
        <w:rPr>
          <w:rFonts w:ascii="Arial" w:hAnsi="Arial" w:cs="Arial"/>
          <w:sz w:val="20"/>
          <w:szCs w:val="20"/>
        </w:rPr>
        <w:t>-</w:t>
      </w:r>
      <w:r w:rsidRPr="00334FFC">
        <w:rPr>
          <w:rFonts w:ascii="Arial" w:hAnsi="Arial" w:cs="Arial"/>
          <w:sz w:val="20"/>
          <w:szCs w:val="20"/>
        </w:rPr>
        <w:t>rezidens partner országa soron a partner székhelye szerinti országnak vagy nemzetközi szervezetnek a 3. melléklet 4.2. pontja szerinti, az MNB honlapján közzétett technikai segédletben megadott ISO kódját kell szerepeltetni.</w:t>
      </w:r>
    </w:p>
    <w:p w:rsidR="0060599C" w:rsidRDefault="00334FF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34FFC">
        <w:rPr>
          <w:rFonts w:ascii="Arial" w:hAnsi="Arial" w:cs="Arial"/>
          <w:sz w:val="20"/>
          <w:szCs w:val="20"/>
        </w:rPr>
        <w:t>A táblák kitöltését segítő módszertani útmutatást, illetve a hibátlan beküldést elősegítő ellenőrzési szabályokat a 3. melléklet 9., illetve 5. pontja szerinti, az MNB honlapján közzétett technikai segédlet tartalmazza.</w:t>
      </w:r>
    </w:p>
    <w:p w:rsidR="00236407" w:rsidRPr="00BC057B" w:rsidRDefault="00236407">
      <w:pPr>
        <w:jc w:val="both"/>
        <w:rPr>
          <w:rFonts w:ascii="Arial" w:hAnsi="Arial" w:cs="Arial"/>
          <w:sz w:val="20"/>
          <w:szCs w:val="20"/>
        </w:rPr>
      </w:pPr>
    </w:p>
    <w:p w:rsidR="00236407" w:rsidRPr="00BC057B" w:rsidRDefault="00236407">
      <w:pPr>
        <w:jc w:val="both"/>
        <w:rPr>
          <w:rFonts w:ascii="Arial" w:hAnsi="Arial" w:cs="Arial"/>
          <w:sz w:val="20"/>
          <w:szCs w:val="20"/>
        </w:rPr>
      </w:pPr>
    </w:p>
    <w:p w:rsidR="00236407" w:rsidRPr="00BC057B" w:rsidRDefault="00236407">
      <w:pPr>
        <w:jc w:val="both"/>
        <w:rPr>
          <w:rFonts w:ascii="Arial" w:hAnsi="Arial" w:cs="Arial"/>
        </w:rPr>
      </w:pPr>
    </w:p>
    <w:p w:rsidR="00236407" w:rsidRPr="00BC057B" w:rsidRDefault="00236407">
      <w:pPr>
        <w:jc w:val="both"/>
        <w:rPr>
          <w:rFonts w:ascii="Arial" w:hAnsi="Arial" w:cs="Arial"/>
        </w:rPr>
      </w:pPr>
    </w:p>
    <w:p w:rsidR="00236407" w:rsidRPr="00BC057B" w:rsidRDefault="00236407">
      <w:pPr>
        <w:ind w:left="360"/>
        <w:jc w:val="both"/>
        <w:rPr>
          <w:rFonts w:ascii="Arial" w:hAnsi="Arial" w:cs="Arial"/>
        </w:rPr>
      </w:pPr>
    </w:p>
    <w:p w:rsidR="00236407" w:rsidRPr="00BC057B" w:rsidRDefault="00236407" w:rsidP="006F2E60">
      <w:pPr>
        <w:jc w:val="both"/>
        <w:rPr>
          <w:rFonts w:ascii="Arial" w:hAnsi="Arial" w:cs="Arial"/>
        </w:rPr>
      </w:pPr>
    </w:p>
    <w:sectPr w:rsidR="00236407" w:rsidRPr="00BC057B" w:rsidSect="00D65B7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76A" w:rsidRDefault="002A176A">
      <w:r>
        <w:separator/>
      </w:r>
    </w:p>
  </w:endnote>
  <w:endnote w:type="continuationSeparator" w:id="0">
    <w:p w:rsidR="002A176A" w:rsidRDefault="002A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005" w:rsidRDefault="00BE02A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5500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55005" w:rsidRDefault="0035500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005" w:rsidRPr="00F91AE3" w:rsidRDefault="00355005">
    <w:pPr>
      <w:pStyle w:val="llb"/>
      <w:ind w:right="360"/>
      <w:rPr>
        <w:rFonts w:ascii="Garamond" w:hAnsi="Garamond"/>
      </w:rPr>
    </w:pPr>
  </w:p>
  <w:p w:rsidR="00355005" w:rsidRPr="00F91AE3" w:rsidRDefault="00355005">
    <w:pPr>
      <w:pStyle w:val="llb"/>
      <w:rPr>
        <w:rFonts w:ascii="Garamond" w:hAnsi="Garamond"/>
      </w:rPr>
    </w:pPr>
  </w:p>
  <w:p w:rsidR="00355005" w:rsidRDefault="0035500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76A" w:rsidRDefault="002A176A">
      <w:r>
        <w:separator/>
      </w:r>
    </w:p>
  </w:footnote>
  <w:footnote w:type="continuationSeparator" w:id="0">
    <w:p w:rsidR="002A176A" w:rsidRDefault="002A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005" w:rsidRPr="00682091" w:rsidRDefault="00355005">
    <w:pPr>
      <w:pStyle w:val="lfej"/>
      <w:tabs>
        <w:tab w:val="left" w:pos="40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5A44"/>
    <w:multiLevelType w:val="hybridMultilevel"/>
    <w:tmpl w:val="2D103FD4"/>
    <w:lvl w:ilvl="0" w:tplc="F00A4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1537E"/>
    <w:multiLevelType w:val="multilevel"/>
    <w:tmpl w:val="52B43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C73E5"/>
    <w:multiLevelType w:val="hybridMultilevel"/>
    <w:tmpl w:val="9E8291EE"/>
    <w:lvl w:ilvl="0" w:tplc="922AD4F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A1091"/>
    <w:multiLevelType w:val="hybridMultilevel"/>
    <w:tmpl w:val="6360C0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1590E"/>
    <w:multiLevelType w:val="hybridMultilevel"/>
    <w:tmpl w:val="52B433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9F6140"/>
    <w:multiLevelType w:val="hybridMultilevel"/>
    <w:tmpl w:val="1BE686C8"/>
    <w:lvl w:ilvl="0" w:tplc="4A08A908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741DA5"/>
    <w:multiLevelType w:val="hybridMultilevel"/>
    <w:tmpl w:val="CBC61850"/>
    <w:lvl w:ilvl="0" w:tplc="266C5FE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DD54D9"/>
    <w:multiLevelType w:val="hybridMultilevel"/>
    <w:tmpl w:val="0D524CC0"/>
    <w:lvl w:ilvl="0" w:tplc="40F69BF8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B70379"/>
    <w:multiLevelType w:val="hybridMultilevel"/>
    <w:tmpl w:val="61F8C110"/>
    <w:lvl w:ilvl="0" w:tplc="8C24C3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F4182C"/>
    <w:multiLevelType w:val="multilevel"/>
    <w:tmpl w:val="9E8291EE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7C2B7C"/>
    <w:multiLevelType w:val="hybridMultilevel"/>
    <w:tmpl w:val="8E003FC8"/>
    <w:lvl w:ilvl="0" w:tplc="4036B63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1D249C"/>
    <w:multiLevelType w:val="hybridMultilevel"/>
    <w:tmpl w:val="67D00898"/>
    <w:lvl w:ilvl="0" w:tplc="071039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82768D"/>
    <w:multiLevelType w:val="hybridMultilevel"/>
    <w:tmpl w:val="95FC83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8B3450"/>
    <w:multiLevelType w:val="hybridMultilevel"/>
    <w:tmpl w:val="1884040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80A4D"/>
    <w:multiLevelType w:val="hybridMultilevel"/>
    <w:tmpl w:val="BDC6FC24"/>
    <w:lvl w:ilvl="0" w:tplc="7E504A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8425DC"/>
    <w:multiLevelType w:val="hybridMultilevel"/>
    <w:tmpl w:val="765E6B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BD2BDE"/>
    <w:multiLevelType w:val="multilevel"/>
    <w:tmpl w:val="9E8291EE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3A3C30"/>
    <w:multiLevelType w:val="hybridMultilevel"/>
    <w:tmpl w:val="A192CD8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489345F"/>
    <w:multiLevelType w:val="hybridMultilevel"/>
    <w:tmpl w:val="B20C0F00"/>
    <w:lvl w:ilvl="0" w:tplc="A0C8B86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F87E4D"/>
    <w:multiLevelType w:val="hybridMultilevel"/>
    <w:tmpl w:val="223EEC12"/>
    <w:lvl w:ilvl="0" w:tplc="AD8ED4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33BCE"/>
    <w:multiLevelType w:val="hybridMultilevel"/>
    <w:tmpl w:val="376EEE2A"/>
    <w:lvl w:ilvl="0" w:tplc="863C408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2B3038"/>
    <w:multiLevelType w:val="hybridMultilevel"/>
    <w:tmpl w:val="E2CAF6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48F05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806B72"/>
    <w:multiLevelType w:val="hybridMultilevel"/>
    <w:tmpl w:val="6764F0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E01EC"/>
    <w:multiLevelType w:val="multilevel"/>
    <w:tmpl w:val="A192C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15"/>
  </w:num>
  <w:num w:numId="5">
    <w:abstractNumId w:val="5"/>
  </w:num>
  <w:num w:numId="6">
    <w:abstractNumId w:val="2"/>
  </w:num>
  <w:num w:numId="7">
    <w:abstractNumId w:val="18"/>
  </w:num>
  <w:num w:numId="8">
    <w:abstractNumId w:val="16"/>
  </w:num>
  <w:num w:numId="9">
    <w:abstractNumId w:val="9"/>
  </w:num>
  <w:num w:numId="10">
    <w:abstractNumId w:val="10"/>
  </w:num>
  <w:num w:numId="11">
    <w:abstractNumId w:val="3"/>
  </w:num>
  <w:num w:numId="12">
    <w:abstractNumId w:val="22"/>
  </w:num>
  <w:num w:numId="13">
    <w:abstractNumId w:val="12"/>
  </w:num>
  <w:num w:numId="14">
    <w:abstractNumId w:val="13"/>
  </w:num>
  <w:num w:numId="15">
    <w:abstractNumId w:val="7"/>
  </w:num>
  <w:num w:numId="16">
    <w:abstractNumId w:val="20"/>
  </w:num>
  <w:num w:numId="17">
    <w:abstractNumId w:val="21"/>
  </w:num>
  <w:num w:numId="18">
    <w:abstractNumId w:val="0"/>
  </w:num>
  <w:num w:numId="19">
    <w:abstractNumId w:val="4"/>
  </w:num>
  <w:num w:numId="20">
    <w:abstractNumId w:val="1"/>
  </w:num>
  <w:num w:numId="21">
    <w:abstractNumId w:val="17"/>
  </w:num>
  <w:num w:numId="22">
    <w:abstractNumId w:val="23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22EB"/>
    <w:rsid w:val="00007989"/>
    <w:rsid w:val="00020837"/>
    <w:rsid w:val="00073967"/>
    <w:rsid w:val="00080638"/>
    <w:rsid w:val="000C2AA7"/>
    <w:rsid w:val="000E1676"/>
    <w:rsid w:val="000F227E"/>
    <w:rsid w:val="000F53FA"/>
    <w:rsid w:val="00180C6B"/>
    <w:rsid w:val="00190731"/>
    <w:rsid w:val="001A450C"/>
    <w:rsid w:val="001A71C1"/>
    <w:rsid w:val="001F16DA"/>
    <w:rsid w:val="00222AED"/>
    <w:rsid w:val="00236407"/>
    <w:rsid w:val="00242F4F"/>
    <w:rsid w:val="00256BE6"/>
    <w:rsid w:val="002632FF"/>
    <w:rsid w:val="002A176A"/>
    <w:rsid w:val="002B33C0"/>
    <w:rsid w:val="002B6450"/>
    <w:rsid w:val="002E4BCF"/>
    <w:rsid w:val="00306E5A"/>
    <w:rsid w:val="003204E6"/>
    <w:rsid w:val="00332679"/>
    <w:rsid w:val="00334FFC"/>
    <w:rsid w:val="00350E64"/>
    <w:rsid w:val="00355005"/>
    <w:rsid w:val="00360209"/>
    <w:rsid w:val="00377F1D"/>
    <w:rsid w:val="00380F77"/>
    <w:rsid w:val="00384D87"/>
    <w:rsid w:val="00386921"/>
    <w:rsid w:val="003919FE"/>
    <w:rsid w:val="003D0953"/>
    <w:rsid w:val="003D4B1B"/>
    <w:rsid w:val="003D7ABA"/>
    <w:rsid w:val="003E46F6"/>
    <w:rsid w:val="00440667"/>
    <w:rsid w:val="0045620D"/>
    <w:rsid w:val="004644A2"/>
    <w:rsid w:val="00493D4A"/>
    <w:rsid w:val="004C7754"/>
    <w:rsid w:val="004D45EA"/>
    <w:rsid w:val="00530F05"/>
    <w:rsid w:val="0060599C"/>
    <w:rsid w:val="00650747"/>
    <w:rsid w:val="006822EB"/>
    <w:rsid w:val="006D1DD1"/>
    <w:rsid w:val="006F2E60"/>
    <w:rsid w:val="00722CAD"/>
    <w:rsid w:val="007A783C"/>
    <w:rsid w:val="007D6965"/>
    <w:rsid w:val="00803F07"/>
    <w:rsid w:val="00821234"/>
    <w:rsid w:val="00852B3C"/>
    <w:rsid w:val="00852B85"/>
    <w:rsid w:val="0087463C"/>
    <w:rsid w:val="008A14B4"/>
    <w:rsid w:val="008A5F60"/>
    <w:rsid w:val="008F4EC6"/>
    <w:rsid w:val="00910364"/>
    <w:rsid w:val="0091079C"/>
    <w:rsid w:val="00927B47"/>
    <w:rsid w:val="00930B7C"/>
    <w:rsid w:val="0095542E"/>
    <w:rsid w:val="009A7CE8"/>
    <w:rsid w:val="009C1060"/>
    <w:rsid w:val="009D5685"/>
    <w:rsid w:val="009E5ECD"/>
    <w:rsid w:val="00A063A2"/>
    <w:rsid w:val="00AA02A6"/>
    <w:rsid w:val="00AF6980"/>
    <w:rsid w:val="00B04267"/>
    <w:rsid w:val="00B11832"/>
    <w:rsid w:val="00B236A7"/>
    <w:rsid w:val="00B342F6"/>
    <w:rsid w:val="00B8591F"/>
    <w:rsid w:val="00BC057B"/>
    <w:rsid w:val="00BE02A3"/>
    <w:rsid w:val="00BE2182"/>
    <w:rsid w:val="00C0506F"/>
    <w:rsid w:val="00C409EF"/>
    <w:rsid w:val="00C42390"/>
    <w:rsid w:val="00C85D47"/>
    <w:rsid w:val="00CB7974"/>
    <w:rsid w:val="00CD17C0"/>
    <w:rsid w:val="00CD5831"/>
    <w:rsid w:val="00CF5274"/>
    <w:rsid w:val="00D1371F"/>
    <w:rsid w:val="00D65B7F"/>
    <w:rsid w:val="00DB7BCB"/>
    <w:rsid w:val="00E013A6"/>
    <w:rsid w:val="00E05D92"/>
    <w:rsid w:val="00E37D3B"/>
    <w:rsid w:val="00E74052"/>
    <w:rsid w:val="00EA5C43"/>
    <w:rsid w:val="00EC1FAF"/>
    <w:rsid w:val="00F2692F"/>
    <w:rsid w:val="00F80387"/>
    <w:rsid w:val="00FB0394"/>
    <w:rsid w:val="00FC123A"/>
    <w:rsid w:val="00FD668D"/>
    <w:rsid w:val="00FD67DE"/>
    <w:rsid w:val="00F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9BD1351-FC60-4A9E-9598-530B4B73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65B7F"/>
    <w:rPr>
      <w:sz w:val="24"/>
      <w:szCs w:val="24"/>
    </w:rPr>
  </w:style>
  <w:style w:type="paragraph" w:styleId="Cmsor1">
    <w:name w:val="heading 1"/>
    <w:basedOn w:val="Norml"/>
    <w:next w:val="Norml"/>
    <w:qFormat/>
    <w:rsid w:val="00D65B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autoRedefine/>
    <w:semiHidden/>
    <w:rsid w:val="00D65B7F"/>
    <w:pPr>
      <w:spacing w:before="120" w:after="120"/>
    </w:pPr>
    <w:rPr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semiHidden/>
    <w:rsid w:val="00D65B7F"/>
    <w:pPr>
      <w:ind w:left="240"/>
    </w:pPr>
    <w:rPr>
      <w:smallCaps/>
      <w:sz w:val="20"/>
      <w:szCs w:val="20"/>
    </w:rPr>
  </w:style>
  <w:style w:type="paragraph" w:styleId="TJ3">
    <w:name w:val="toc 3"/>
    <w:basedOn w:val="Norml"/>
    <w:next w:val="Norml"/>
    <w:autoRedefine/>
    <w:semiHidden/>
    <w:rsid w:val="00D65B7F"/>
    <w:pPr>
      <w:ind w:left="480"/>
    </w:pPr>
    <w:rPr>
      <w:i/>
      <w:iCs/>
      <w:sz w:val="20"/>
      <w:szCs w:val="20"/>
    </w:rPr>
  </w:style>
  <w:style w:type="paragraph" w:styleId="TJ4">
    <w:name w:val="toc 4"/>
    <w:basedOn w:val="Norml"/>
    <w:next w:val="Norml"/>
    <w:autoRedefine/>
    <w:semiHidden/>
    <w:rsid w:val="00D65B7F"/>
    <w:pPr>
      <w:ind w:left="720"/>
    </w:pPr>
    <w:rPr>
      <w:sz w:val="18"/>
      <w:szCs w:val="18"/>
    </w:rPr>
  </w:style>
  <w:style w:type="paragraph" w:styleId="TJ5">
    <w:name w:val="toc 5"/>
    <w:basedOn w:val="Norml"/>
    <w:next w:val="Norml"/>
    <w:autoRedefine/>
    <w:semiHidden/>
    <w:rsid w:val="00D65B7F"/>
    <w:pPr>
      <w:ind w:left="960"/>
    </w:pPr>
    <w:rPr>
      <w:sz w:val="18"/>
      <w:szCs w:val="18"/>
    </w:rPr>
  </w:style>
  <w:style w:type="paragraph" w:styleId="TJ6">
    <w:name w:val="toc 6"/>
    <w:basedOn w:val="Norml"/>
    <w:next w:val="Norml"/>
    <w:autoRedefine/>
    <w:semiHidden/>
    <w:rsid w:val="00D65B7F"/>
    <w:pPr>
      <w:ind w:left="1200"/>
    </w:pPr>
    <w:rPr>
      <w:sz w:val="18"/>
      <w:szCs w:val="18"/>
    </w:rPr>
  </w:style>
  <w:style w:type="paragraph" w:styleId="TJ7">
    <w:name w:val="toc 7"/>
    <w:basedOn w:val="Norml"/>
    <w:next w:val="Norml"/>
    <w:autoRedefine/>
    <w:semiHidden/>
    <w:rsid w:val="00D65B7F"/>
    <w:pPr>
      <w:ind w:left="1440"/>
    </w:pPr>
    <w:rPr>
      <w:sz w:val="18"/>
      <w:szCs w:val="18"/>
    </w:rPr>
  </w:style>
  <w:style w:type="paragraph" w:styleId="TJ8">
    <w:name w:val="toc 8"/>
    <w:basedOn w:val="Norml"/>
    <w:next w:val="Norml"/>
    <w:autoRedefine/>
    <w:semiHidden/>
    <w:rsid w:val="00D65B7F"/>
    <w:pPr>
      <w:ind w:left="1680"/>
    </w:pPr>
    <w:rPr>
      <w:sz w:val="18"/>
      <w:szCs w:val="18"/>
    </w:rPr>
  </w:style>
  <w:style w:type="paragraph" w:styleId="TJ9">
    <w:name w:val="toc 9"/>
    <w:basedOn w:val="Norml"/>
    <w:next w:val="Norml"/>
    <w:autoRedefine/>
    <w:semiHidden/>
    <w:rsid w:val="00D65B7F"/>
    <w:pPr>
      <w:ind w:left="1920"/>
    </w:pPr>
    <w:rPr>
      <w:sz w:val="18"/>
      <w:szCs w:val="18"/>
    </w:rPr>
  </w:style>
  <w:style w:type="character" w:styleId="Hiperhivatkozs">
    <w:name w:val="Hyperlink"/>
    <w:rsid w:val="00D65B7F"/>
    <w:rPr>
      <w:color w:val="0000FF"/>
      <w:u w:val="single"/>
    </w:rPr>
  </w:style>
  <w:style w:type="paragraph" w:styleId="lfej">
    <w:name w:val="header"/>
    <w:basedOn w:val="Norml"/>
    <w:rsid w:val="00D65B7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65B7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65B7F"/>
  </w:style>
  <w:style w:type="paragraph" w:styleId="Buborkszveg">
    <w:name w:val="Balloon Text"/>
    <w:basedOn w:val="Norml"/>
    <w:semiHidden/>
    <w:rsid w:val="00D65B7F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D65B7F"/>
    <w:rPr>
      <w:sz w:val="16"/>
      <w:szCs w:val="16"/>
    </w:rPr>
  </w:style>
  <w:style w:type="paragraph" w:styleId="Jegyzetszveg">
    <w:name w:val="annotation text"/>
    <w:basedOn w:val="Norml"/>
    <w:semiHidden/>
    <w:rsid w:val="00D65B7F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D65B7F"/>
    <w:rPr>
      <w:b/>
      <w:bCs/>
    </w:rPr>
  </w:style>
  <w:style w:type="paragraph" w:customStyle="1" w:styleId="CharChar1CharCharCharCharCharCharCharCharCharCharCharCharChar">
    <w:name w:val="Char Char1 Char Char Char Char Char Char Char Char Char Char Char Char Char"/>
    <w:basedOn w:val="Norml"/>
    <w:rsid w:val="008746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Vltozat">
    <w:name w:val="Revision"/>
    <w:hidden/>
    <w:uiPriority w:val="99"/>
    <w:semiHidden/>
    <w:rsid w:val="003326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KITÖLTÉSI ÚTMUTATÓ</vt:lpstr>
      <vt:lpstr>KITÖLTÉSI ÚTMUTATÓ</vt:lpstr>
    </vt:vector>
  </TitlesOfParts>
  <Company>Magyar Nemzeti Bank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KITÖLTÉSI ÚTMUTATÓ</dc:title>
  <dc:subject/>
  <dc:creator>Kőrös Orsolya</dc:creator>
  <cp:keywords/>
  <cp:lastModifiedBy>Szenthelyi Dávid</cp:lastModifiedBy>
  <cp:revision>2</cp:revision>
  <cp:lastPrinted>2006-01-17T15:26:00Z</cp:lastPrinted>
  <dcterms:created xsi:type="dcterms:W3CDTF">2018-09-26T14:07:00Z</dcterms:created>
  <dcterms:modified xsi:type="dcterms:W3CDTF">2018-09-26T14:07:00Z</dcterms:modified>
</cp:coreProperties>
</file>